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1D845" w14:textId="0974AC0D" w:rsidR="00FE2725" w:rsidRDefault="00FE2725" w:rsidP="00FE2725">
      <w:pPr>
        <w:spacing w:after="0" w:line="240" w:lineRule="auto"/>
      </w:pPr>
      <w:bookmarkStart w:id="0" w:name="_GoBack"/>
      <w:bookmarkEnd w:id="0"/>
      <w:r>
        <w:t xml:space="preserve">Andrea </w:t>
      </w:r>
      <w:proofErr w:type="spellStart"/>
      <w:r>
        <w:t>Pinales</w:t>
      </w:r>
      <w:proofErr w:type="spellEnd"/>
    </w:p>
    <w:p w14:paraId="5BF91409" w14:textId="77777777" w:rsidR="00FE2725" w:rsidRDefault="00FE2725" w:rsidP="00FE2725">
      <w:pPr>
        <w:spacing w:after="0" w:line="240" w:lineRule="auto"/>
      </w:pPr>
    </w:p>
    <w:p w14:paraId="2EA4409D" w14:textId="3344F1A6" w:rsidR="00FE2725" w:rsidRDefault="006F678B" w:rsidP="00FE2725">
      <w:pPr>
        <w:spacing w:after="0" w:line="240" w:lineRule="auto"/>
      </w:pPr>
      <w:r>
        <w:t xml:space="preserve">Topic Question: </w:t>
      </w:r>
      <w:r w:rsidR="004F76FF">
        <w:t xml:space="preserve">How do complaints differ overtime </w:t>
      </w:r>
      <w:r w:rsidR="00BF773E">
        <w:t xml:space="preserve">in Queens based on area and </w:t>
      </w:r>
      <w:proofErr w:type="gramStart"/>
      <w:r w:rsidR="00BF773E">
        <w:t>Precinct</w:t>
      </w:r>
      <w:proofErr w:type="gramEnd"/>
    </w:p>
    <w:p w14:paraId="76F735C2" w14:textId="04D6461F" w:rsidR="00BF773E" w:rsidRDefault="00BF773E" w:rsidP="00FE2725">
      <w:pPr>
        <w:spacing w:after="0" w:line="240" w:lineRule="auto"/>
      </w:pPr>
    </w:p>
    <w:p w14:paraId="2B4CC371" w14:textId="0120E2DF" w:rsidR="00BF773E" w:rsidRDefault="0044733F" w:rsidP="00356659">
      <w:pPr>
        <w:spacing w:after="0" w:line="360" w:lineRule="auto"/>
      </w:pPr>
      <w:r>
        <w:tab/>
        <w:t xml:space="preserve">In Queens, </w:t>
      </w:r>
      <w:r w:rsidR="003B17FA">
        <w:t xml:space="preserve">there are 15 precincts </w:t>
      </w:r>
      <w:r w:rsidR="007A4198">
        <w:t xml:space="preserve">that have different allegations reported. </w:t>
      </w:r>
      <w:r w:rsidR="003F3EE2">
        <w:t xml:space="preserve">For this data, I focused on how certain </w:t>
      </w:r>
      <w:r w:rsidR="00880C52">
        <w:t>complaints (Abuse of Authority, Discourtesy, Offensive Language, and Force) differ among precincts</w:t>
      </w:r>
      <w:r w:rsidR="00F87E02">
        <w:t xml:space="preserve"> and used graphs to see which ones were higher in</w:t>
      </w:r>
      <w:r w:rsidR="00314B93">
        <w:t xml:space="preserve"> the different complain areas </w:t>
      </w:r>
      <w:r w:rsidR="005F084C">
        <w:t xml:space="preserve">with a certain amount of allegations. </w:t>
      </w:r>
    </w:p>
    <w:p w14:paraId="7E93D1C9" w14:textId="77777777" w:rsidR="00FE2725" w:rsidRDefault="00FE2725" w:rsidP="00FE2725">
      <w:pPr>
        <w:spacing w:after="0" w:line="240" w:lineRule="auto"/>
      </w:pPr>
    </w:p>
    <w:p w14:paraId="15315AF7" w14:textId="069EFAA7" w:rsidR="00E07306" w:rsidRDefault="006F678B">
      <w:r>
        <w:t>Outside Information:</w:t>
      </w:r>
    </w:p>
    <w:p w14:paraId="4CCACDD2" w14:textId="243EA6B1" w:rsidR="009309A4" w:rsidRDefault="00FC7684">
      <w:r>
        <w:rPr>
          <w:b/>
          <w:bCs/>
        </w:rPr>
        <w:t>-</w:t>
      </w:r>
      <w:r w:rsidR="00494045">
        <w:rPr>
          <w:b/>
          <w:bCs/>
        </w:rPr>
        <w:t>Stop-and-frisk</w:t>
      </w:r>
      <w:r w:rsidR="00494045">
        <w:t>, in New York is a practice of temporarily detaining, questioning, and at times searching people on the street for weapons and other suspicions. This is what is known in other places in the United States as the Terry Stop (Originating from Terry V. Ohio).</w:t>
      </w:r>
    </w:p>
    <w:p w14:paraId="74BD6407" w14:textId="128D93C5" w:rsidR="00494045" w:rsidRDefault="00FC7684">
      <w:r>
        <w:t>-</w:t>
      </w:r>
      <w:r w:rsidR="00494045">
        <w:t xml:space="preserve">A major turning point was the 2013 court case </w:t>
      </w:r>
      <w:r w:rsidR="00494045">
        <w:rPr>
          <w:i/>
          <w:iCs/>
        </w:rPr>
        <w:t xml:space="preserve">Floyd v. City of New York </w:t>
      </w:r>
      <w:r w:rsidR="00494045">
        <w:t>and a subsequent NYPD mandate that requires officers to thoroughly justify the reason for making a stop. From there, fewer stops have been made in the years 2014 and 2015.</w:t>
      </w:r>
    </w:p>
    <w:p w14:paraId="322928FF" w14:textId="2EA95C38" w:rsidR="00E16C26" w:rsidRDefault="00FC7684">
      <w:r>
        <w:t>-P</w:t>
      </w:r>
      <w:r w:rsidR="00494045">
        <w:t>olice complaints in Queens fell 2% to 895 in 2012, from 911 in 2011. Astoria's 114th Precinct had a 28.6% spike in complaints against officers, rising to 81 from 63 in 2011. The precinct also had the sixth highest number of stops by copes in 2012.</w:t>
      </w:r>
      <w:r>
        <w:t xml:space="preserve"> (</w:t>
      </w:r>
      <w:r w:rsidR="009B0604">
        <w:t>NY Daily</w:t>
      </w:r>
      <w:r w:rsidR="008D0D83">
        <w:t>)</w:t>
      </w:r>
    </w:p>
    <w:p w14:paraId="3243ADA1" w14:textId="2826DE22" w:rsidR="008D0D83" w:rsidRDefault="00DD51F0">
      <w:r>
        <w:rPr>
          <w:noProof/>
        </w:rPr>
        <w:drawing>
          <wp:inline distT="0" distB="0" distL="0" distR="0" wp14:anchorId="2F046C5D" wp14:editId="7DE520D4">
            <wp:extent cx="3959750" cy="2377440"/>
            <wp:effectExtent l="0" t="0" r="3175" b="3810"/>
            <wp:docPr id="17" name="Chart 1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1CF7060-BF0B-41A6-A916-417D5D4349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3802149" w14:textId="47996921" w:rsidR="0073512D" w:rsidRDefault="00E75E13">
      <w:r>
        <w:t>This graph demonstrates the percentages of allegations in each precinct and on top of the bars this shows the</w:t>
      </w:r>
      <w:r w:rsidR="00513D7C">
        <w:t xml:space="preserve"> </w:t>
      </w:r>
      <w:r w:rsidR="002B0BEC">
        <w:t>number</w:t>
      </w:r>
      <w:r w:rsidR="00513D7C">
        <w:t xml:space="preserve"> of allegations from each precinct.</w:t>
      </w:r>
      <w:r>
        <w:t xml:space="preserve"> </w:t>
      </w:r>
      <w:r w:rsidR="00FD665C">
        <w:t>From all categories, this equals</w:t>
      </w:r>
      <w:r w:rsidR="00513D7C">
        <w:t xml:space="preserve"> </w:t>
      </w:r>
      <w:r w:rsidR="00CE657B">
        <w:t>371</w:t>
      </w:r>
      <w:r w:rsidR="00FD665C">
        <w:t xml:space="preserve"> allegations and below shows the size of each category playing into that </w:t>
      </w:r>
      <w:r w:rsidR="00CE657B">
        <w:t xml:space="preserve">371 </w:t>
      </w:r>
      <w:r w:rsidR="00427C52">
        <w:t>broken down into category percentages</w:t>
      </w:r>
    </w:p>
    <w:p w14:paraId="2D3F9BD8" w14:textId="5BF96D5E" w:rsidR="00FD665C" w:rsidRDefault="009A146E">
      <w:r>
        <w:rPr>
          <w:noProof/>
        </w:rPr>
        <w:lastRenderedPageBreak/>
        <w:drawing>
          <wp:inline distT="0" distB="0" distL="0" distR="0" wp14:anchorId="0AE59222" wp14:editId="154BA6CE">
            <wp:extent cx="3426460" cy="2441050"/>
            <wp:effectExtent l="0" t="0" r="2540" b="16510"/>
            <wp:docPr id="18" name="Chart 1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6D0788B-B410-4B19-AC8C-C78ABC78E6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15A18F" w14:textId="21EEEDFC" w:rsidR="00FD665C" w:rsidRDefault="009916DB">
      <w:r>
        <w:rPr>
          <w:noProof/>
        </w:rPr>
        <w:drawing>
          <wp:inline distT="0" distB="0" distL="0" distR="0" wp14:anchorId="2EF0FF80" wp14:editId="164F4137">
            <wp:extent cx="3339548" cy="2329732"/>
            <wp:effectExtent l="0" t="0" r="13335" b="13970"/>
            <wp:docPr id="20" name="Chart 2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25C8E69-05BC-4D02-989A-80A2492DFA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F309AA" w14:textId="77777777" w:rsidR="00D20070" w:rsidRDefault="00DF0305" w:rsidP="00D20070">
      <w:pPr>
        <w:rPr>
          <w:noProof/>
        </w:rPr>
      </w:pPr>
      <w:r>
        <w:rPr>
          <w:noProof/>
        </w:rPr>
        <w:drawing>
          <wp:inline distT="0" distB="0" distL="0" distR="0" wp14:anchorId="6329D2D7" wp14:editId="38035A79">
            <wp:extent cx="3426460" cy="2361537"/>
            <wp:effectExtent l="0" t="0" r="2540" b="1270"/>
            <wp:docPr id="22" name="Chart 2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2DB1E6-3DA0-4164-A013-B983E503FD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4FA45D" w14:textId="20F6C1C0" w:rsidR="006642F8" w:rsidRDefault="006642F8" w:rsidP="00D20070">
      <w:pPr>
        <w:pStyle w:val="ListParagraph"/>
        <w:numPr>
          <w:ilvl w:val="0"/>
          <w:numId w:val="2"/>
        </w:numPr>
        <w:rPr>
          <w:noProof/>
        </w:rPr>
      </w:pPr>
      <w:r>
        <w:t xml:space="preserve">The tops of the bars are the amounts of allegations from each precinct </w:t>
      </w:r>
      <w:r w:rsidR="008B2E8B">
        <w:t xml:space="preserve">and the percentage (y-axis) shows how much of abuse of authority </w:t>
      </w:r>
      <w:r w:rsidR="001E4889">
        <w:t>allegations come from their precinct.</w:t>
      </w:r>
    </w:p>
    <w:p w14:paraId="2803D973" w14:textId="77777777" w:rsidR="008D0D83" w:rsidRDefault="008D0D83"/>
    <w:p w14:paraId="09C43E60" w14:textId="1125528B" w:rsidR="007C63EB" w:rsidRDefault="002D0A35">
      <w:pPr>
        <w:rPr>
          <w:b/>
          <w:bCs/>
        </w:rPr>
      </w:pPr>
      <w:r>
        <w:rPr>
          <w:noProof/>
        </w:rPr>
        <w:lastRenderedPageBreak/>
        <w:drawing>
          <wp:inline distT="0" distB="0" distL="0" distR="0" wp14:anchorId="0FA207B6" wp14:editId="24618090">
            <wp:extent cx="3538330" cy="2305878"/>
            <wp:effectExtent l="0" t="0" r="5080" b="18415"/>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F12EB7-D4E8-4944-A0C2-AC00E56CD7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DC5BB6" w14:textId="4D65107E" w:rsidR="00B177F4" w:rsidRPr="00B177F4" w:rsidRDefault="00B177F4" w:rsidP="00B177F4">
      <w:pPr>
        <w:pStyle w:val="ListParagraph"/>
        <w:numPr>
          <w:ilvl w:val="0"/>
          <w:numId w:val="2"/>
        </w:numPr>
        <w:rPr>
          <w:noProof/>
        </w:rPr>
      </w:pPr>
      <w:r>
        <w:t>The tops of the bars are the amounts of allegations from each precinct and the percentage (y-axis) shows how much of force allegations come from their precinct.</w:t>
      </w:r>
    </w:p>
    <w:p w14:paraId="40D48B4E" w14:textId="704BB9AB" w:rsidR="007E560F" w:rsidRDefault="007E560F" w:rsidP="00B177F4">
      <w:pPr>
        <w:pStyle w:val="ListParagraph"/>
        <w:numPr>
          <w:ilvl w:val="0"/>
          <w:numId w:val="2"/>
        </w:numPr>
      </w:pPr>
      <w:r>
        <w:t>Precincts with no allegation are left blank</w:t>
      </w:r>
      <w:r w:rsidRPr="00B177F4">
        <w:rPr>
          <w:vertAlign w:val="superscript"/>
        </w:rPr>
        <w:t>1</w:t>
      </w:r>
    </w:p>
    <w:p w14:paraId="2E5EB21B" w14:textId="46A577AB" w:rsidR="007E560F" w:rsidRDefault="00536C07">
      <w:r>
        <w:rPr>
          <w:noProof/>
        </w:rPr>
        <w:drawing>
          <wp:inline distT="0" distB="0" distL="0" distR="0" wp14:anchorId="54ECA90C" wp14:editId="28015C34">
            <wp:extent cx="3729162" cy="2512613"/>
            <wp:effectExtent l="0" t="0" r="5080" b="2540"/>
            <wp:docPr id="23" name="Chart 2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5F1BCF-45AE-4ECA-B83A-C95FDC5C23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961AF4" w14:textId="46B6E0A7" w:rsidR="00FD665C" w:rsidRDefault="00FD665C" w:rsidP="00F816C7">
      <w:pPr>
        <w:pStyle w:val="ListParagraph"/>
        <w:numPr>
          <w:ilvl w:val="0"/>
          <w:numId w:val="2"/>
        </w:numPr>
        <w:rPr>
          <w:vertAlign w:val="superscript"/>
        </w:rPr>
      </w:pPr>
      <w:r>
        <w:t>Precincts with no allegation are left blank</w:t>
      </w:r>
      <w:r w:rsidRPr="00F816C7">
        <w:rPr>
          <w:vertAlign w:val="superscript"/>
        </w:rPr>
        <w:t>1</w:t>
      </w:r>
    </w:p>
    <w:p w14:paraId="70D53F88" w14:textId="1E9F6066" w:rsidR="00F816C7" w:rsidRPr="00F816C7" w:rsidRDefault="00F816C7" w:rsidP="00F816C7">
      <w:pPr>
        <w:pStyle w:val="ListParagraph"/>
        <w:numPr>
          <w:ilvl w:val="0"/>
          <w:numId w:val="2"/>
        </w:numPr>
        <w:rPr>
          <w:noProof/>
        </w:rPr>
      </w:pPr>
      <w:r>
        <w:t>The tops of the bars are the amounts of allegations from each precinct and the percentage (y-axis) shows how much of abuse of authority allegations come from their precinct.</w:t>
      </w:r>
    </w:p>
    <w:p w14:paraId="4C6D4588" w14:textId="47285917" w:rsidR="00FD665C" w:rsidRDefault="002B0BEC">
      <w:r>
        <w:rPr>
          <w:noProof/>
        </w:rPr>
        <w:lastRenderedPageBreak/>
        <w:drawing>
          <wp:inline distT="0" distB="0" distL="0" distR="0" wp14:anchorId="71EEB247" wp14:editId="0B5E1045">
            <wp:extent cx="3737113" cy="2433099"/>
            <wp:effectExtent l="0" t="0" r="15875" b="5715"/>
            <wp:docPr id="24" name="Chart 2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1CD89CE-E952-46BE-9FD7-149E59DDC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F71090" w14:textId="54408FE6" w:rsidR="00FD665C" w:rsidRPr="00CB469D" w:rsidRDefault="00FD665C" w:rsidP="00CB469D">
      <w:pPr>
        <w:pStyle w:val="ListParagraph"/>
        <w:numPr>
          <w:ilvl w:val="0"/>
          <w:numId w:val="2"/>
        </w:numPr>
        <w:rPr>
          <w:vertAlign w:val="superscript"/>
        </w:rPr>
      </w:pPr>
      <w:r>
        <w:t>Precincts with no allegation are left blank</w:t>
      </w:r>
      <w:r w:rsidRPr="00CB469D">
        <w:rPr>
          <w:vertAlign w:val="superscript"/>
        </w:rPr>
        <w:t>1</w:t>
      </w:r>
    </w:p>
    <w:p w14:paraId="5578CD8E" w14:textId="012E2C1F" w:rsidR="00CB469D" w:rsidRPr="00F816C7" w:rsidRDefault="00CB469D" w:rsidP="00CB469D">
      <w:pPr>
        <w:pStyle w:val="ListParagraph"/>
        <w:numPr>
          <w:ilvl w:val="0"/>
          <w:numId w:val="2"/>
        </w:numPr>
        <w:rPr>
          <w:noProof/>
        </w:rPr>
      </w:pPr>
      <w:r>
        <w:t>The tops of the bars are the amounts of allegations from each precinct and the percentage (y-axis) shows how much of Offensive Language allegations come from their precinct.</w:t>
      </w:r>
    </w:p>
    <w:p w14:paraId="24B882A6" w14:textId="77777777" w:rsidR="00CB469D" w:rsidRPr="00FD665C" w:rsidRDefault="00CB469D">
      <w:pPr>
        <w:rPr>
          <w:vertAlign w:val="superscript"/>
        </w:rPr>
      </w:pPr>
    </w:p>
    <w:p w14:paraId="1BDA0365" w14:textId="0023F618" w:rsidR="0073369C" w:rsidRDefault="00C70705">
      <w:r>
        <w:t>Bibliography:</w:t>
      </w:r>
    </w:p>
    <w:p w14:paraId="7A1647C9" w14:textId="2730A6CB" w:rsidR="00831127" w:rsidRPr="00CB469D" w:rsidRDefault="00C70705" w:rsidP="000B2A14">
      <w:pPr>
        <w:pStyle w:val="NormalWeb"/>
        <w:spacing w:line="480" w:lineRule="auto"/>
        <w:ind w:left="720" w:hanging="720"/>
        <w:rPr>
          <w:b/>
          <w:bCs/>
        </w:rPr>
      </w:pPr>
      <w:r w:rsidRPr="00CB469D">
        <w:rPr>
          <w:b/>
          <w:bCs/>
        </w:rPr>
        <w:t xml:space="preserve">“NY Daily News - Complaints </w:t>
      </w:r>
      <w:proofErr w:type="gramStart"/>
      <w:r w:rsidRPr="00CB469D">
        <w:rPr>
          <w:b/>
          <w:bCs/>
        </w:rPr>
        <w:t>Against</w:t>
      </w:r>
      <w:proofErr w:type="gramEnd"/>
      <w:r w:rsidRPr="00CB469D">
        <w:rPr>
          <w:b/>
          <w:bCs/>
        </w:rPr>
        <w:t xml:space="preserve"> NYPD Cops Mirror Stop-and-Frisk Numbers: Study.” </w:t>
      </w:r>
      <w:r w:rsidRPr="00CB469D">
        <w:rPr>
          <w:b/>
          <w:bCs/>
          <w:i/>
          <w:iCs/>
        </w:rPr>
        <w:t>Https://Www.Nydailynews.Com/New-York/Brooklyn/Complaints-Cops-Mirror-Stop-and-Frisk-Numbers-Article-1.1388735</w:t>
      </w:r>
      <w:r w:rsidRPr="00CB469D">
        <w:rPr>
          <w:b/>
          <w:bCs/>
        </w:rPr>
        <w:t>, Jennifer H Cunningham,</w:t>
      </w:r>
      <w:r w:rsidRPr="00CB469D">
        <w:rPr>
          <w:b/>
          <w:bCs/>
          <w:color w:val="000000" w:themeColor="text1"/>
        </w:rPr>
        <w:t xml:space="preserve"> </w:t>
      </w:r>
      <w:hyperlink w:history="1">
        <w:r w:rsidR="00CB469D" w:rsidRPr="00CB469D">
          <w:rPr>
            <w:rStyle w:val="Hyperlink"/>
            <w:b/>
            <w:bCs/>
            <w:color w:val="000000" w:themeColor="text1"/>
            <w:u w:val="none"/>
          </w:rPr>
          <w:t>www.tribpub. com/gdpr/nydailynews.com</w:t>
        </w:r>
      </w:hyperlink>
      <w:r w:rsidRPr="00CB469D">
        <w:rPr>
          <w:b/>
          <w:bCs/>
          <w:color w:val="000000" w:themeColor="text1"/>
        </w:rPr>
        <w:t>.</w:t>
      </w:r>
    </w:p>
    <w:p w14:paraId="33CD4FC3" w14:textId="74EEB386" w:rsidR="00690228" w:rsidRPr="00690228" w:rsidRDefault="00690228" w:rsidP="00690228">
      <w:pPr>
        <w:spacing w:before="100" w:beforeAutospacing="1" w:after="100" w:afterAutospacing="1" w:line="480" w:lineRule="auto"/>
        <w:ind w:left="720" w:hanging="720"/>
        <w:rPr>
          <w:rFonts w:ascii="Times New Roman" w:eastAsia="Times New Roman" w:hAnsi="Times New Roman" w:cs="Times New Roman"/>
          <w:b/>
          <w:bCs/>
          <w:sz w:val="24"/>
          <w:szCs w:val="24"/>
        </w:rPr>
      </w:pPr>
      <w:proofErr w:type="gramStart"/>
      <w:r w:rsidRPr="00690228">
        <w:rPr>
          <w:rFonts w:ascii="Times New Roman" w:eastAsia="Times New Roman" w:hAnsi="Times New Roman" w:cs="Times New Roman"/>
          <w:b/>
          <w:bCs/>
          <w:sz w:val="24"/>
          <w:szCs w:val="24"/>
        </w:rPr>
        <w:t>“The NYPD Files.”</w:t>
      </w:r>
      <w:proofErr w:type="gramEnd"/>
      <w:r w:rsidRPr="00690228">
        <w:rPr>
          <w:rFonts w:ascii="Times New Roman" w:eastAsia="Times New Roman" w:hAnsi="Times New Roman" w:cs="Times New Roman"/>
          <w:b/>
          <w:bCs/>
          <w:sz w:val="24"/>
          <w:szCs w:val="24"/>
        </w:rPr>
        <w:t xml:space="preserve"> </w:t>
      </w:r>
      <w:r w:rsidRPr="00690228">
        <w:rPr>
          <w:rFonts w:ascii="Times New Roman" w:eastAsia="Times New Roman" w:hAnsi="Times New Roman" w:cs="Times New Roman"/>
          <w:b/>
          <w:bCs/>
          <w:i/>
          <w:iCs/>
          <w:sz w:val="24"/>
          <w:szCs w:val="24"/>
        </w:rPr>
        <w:t>ProPublica Data Store</w:t>
      </w:r>
      <w:r w:rsidRPr="00690228">
        <w:rPr>
          <w:rFonts w:ascii="Times New Roman" w:eastAsia="Times New Roman" w:hAnsi="Times New Roman" w:cs="Times New Roman"/>
          <w:b/>
          <w:bCs/>
          <w:sz w:val="24"/>
          <w:szCs w:val="24"/>
        </w:rPr>
        <w:t>, 27 July 2020,</w:t>
      </w:r>
      <w:r w:rsidR="00642F85">
        <w:rPr>
          <w:rFonts w:ascii="Times New Roman" w:eastAsia="Times New Roman" w:hAnsi="Times New Roman" w:cs="Times New Roman"/>
          <w:b/>
          <w:bCs/>
          <w:sz w:val="24"/>
          <w:szCs w:val="24"/>
        </w:rPr>
        <w:t xml:space="preserve"> </w:t>
      </w:r>
      <w:hyperlink r:id="rId14" w:history="1">
        <w:r w:rsidR="00642F85" w:rsidRPr="00690228">
          <w:rPr>
            <w:rStyle w:val="Hyperlink"/>
            <w:rFonts w:ascii="Times New Roman" w:eastAsia="Times New Roman" w:hAnsi="Times New Roman" w:cs="Times New Roman"/>
            <w:b/>
            <w:bCs/>
            <w:color w:val="000000" w:themeColor="text1"/>
            <w:sz w:val="24"/>
            <w:szCs w:val="24"/>
            <w:u w:val="none"/>
          </w:rPr>
          <w:t>www.propublica.org/datastore/</w:t>
        </w:r>
      </w:hyperlink>
      <w:r w:rsidR="00642F85" w:rsidRPr="00642F85">
        <w:rPr>
          <w:rFonts w:ascii="Times New Roman" w:eastAsia="Times New Roman" w:hAnsi="Times New Roman" w:cs="Times New Roman"/>
          <w:b/>
          <w:bCs/>
          <w:color w:val="000000" w:themeColor="text1"/>
          <w:sz w:val="24"/>
          <w:szCs w:val="24"/>
        </w:rPr>
        <w:t xml:space="preserve"> </w:t>
      </w:r>
      <w:r w:rsidRPr="00690228">
        <w:rPr>
          <w:rFonts w:ascii="Times New Roman" w:eastAsia="Times New Roman" w:hAnsi="Times New Roman" w:cs="Times New Roman"/>
          <w:b/>
          <w:bCs/>
          <w:sz w:val="24"/>
          <w:szCs w:val="24"/>
        </w:rPr>
        <w:t>dataset/civilian-complaints-against-new-york-city-police-officers.</w:t>
      </w:r>
    </w:p>
    <w:p w14:paraId="5D9430B1" w14:textId="77777777" w:rsidR="00690228" w:rsidRPr="00C70705" w:rsidRDefault="00690228" w:rsidP="000B2A14">
      <w:pPr>
        <w:pStyle w:val="NormalWeb"/>
        <w:spacing w:line="480" w:lineRule="auto"/>
        <w:ind w:left="720" w:hanging="720"/>
        <w:rPr>
          <w:b/>
          <w:bCs/>
          <w:sz w:val="20"/>
          <w:szCs w:val="20"/>
        </w:rPr>
      </w:pPr>
    </w:p>
    <w:sectPr w:rsidR="00690228" w:rsidRPr="00C70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33002"/>
    <w:multiLevelType w:val="hybridMultilevel"/>
    <w:tmpl w:val="6AC2FDD0"/>
    <w:lvl w:ilvl="0" w:tplc="E9FE6942">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73119C"/>
    <w:multiLevelType w:val="hybridMultilevel"/>
    <w:tmpl w:val="499A2EB0"/>
    <w:lvl w:ilvl="0" w:tplc="4086C70A">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E9"/>
    <w:rsid w:val="000042D6"/>
    <w:rsid w:val="00007838"/>
    <w:rsid w:val="0001482E"/>
    <w:rsid w:val="00022EC0"/>
    <w:rsid w:val="00027CCD"/>
    <w:rsid w:val="0003326C"/>
    <w:rsid w:val="00065C31"/>
    <w:rsid w:val="000A34AF"/>
    <w:rsid w:val="000B0E7F"/>
    <w:rsid w:val="000B2949"/>
    <w:rsid w:val="000B2A14"/>
    <w:rsid w:val="0010212B"/>
    <w:rsid w:val="00115721"/>
    <w:rsid w:val="00136F9B"/>
    <w:rsid w:val="001512C6"/>
    <w:rsid w:val="00152C38"/>
    <w:rsid w:val="00153DA2"/>
    <w:rsid w:val="00165382"/>
    <w:rsid w:val="001B4B0D"/>
    <w:rsid w:val="001C2BA5"/>
    <w:rsid w:val="001E1A43"/>
    <w:rsid w:val="001E4889"/>
    <w:rsid w:val="00200982"/>
    <w:rsid w:val="00246CF8"/>
    <w:rsid w:val="00270AE9"/>
    <w:rsid w:val="0028424F"/>
    <w:rsid w:val="00295014"/>
    <w:rsid w:val="002B0BEC"/>
    <w:rsid w:val="002B5E63"/>
    <w:rsid w:val="002D0A35"/>
    <w:rsid w:val="002D7218"/>
    <w:rsid w:val="002E2EFD"/>
    <w:rsid w:val="002E45CC"/>
    <w:rsid w:val="00314041"/>
    <w:rsid w:val="00314B93"/>
    <w:rsid w:val="00333812"/>
    <w:rsid w:val="00342B50"/>
    <w:rsid w:val="00356659"/>
    <w:rsid w:val="00390B50"/>
    <w:rsid w:val="00392FB7"/>
    <w:rsid w:val="003957D3"/>
    <w:rsid w:val="003A4902"/>
    <w:rsid w:val="003B17FA"/>
    <w:rsid w:val="003C4315"/>
    <w:rsid w:val="003D3B07"/>
    <w:rsid w:val="003F3841"/>
    <w:rsid w:val="003F3EE2"/>
    <w:rsid w:val="00411F13"/>
    <w:rsid w:val="00426C9C"/>
    <w:rsid w:val="00427C52"/>
    <w:rsid w:val="0043206A"/>
    <w:rsid w:val="00432ECA"/>
    <w:rsid w:val="00442A24"/>
    <w:rsid w:val="0044733F"/>
    <w:rsid w:val="00494045"/>
    <w:rsid w:val="004B3C62"/>
    <w:rsid w:val="004F5239"/>
    <w:rsid w:val="004F76FF"/>
    <w:rsid w:val="00513D7C"/>
    <w:rsid w:val="005230CE"/>
    <w:rsid w:val="00525216"/>
    <w:rsid w:val="00536C07"/>
    <w:rsid w:val="0054062C"/>
    <w:rsid w:val="0054322D"/>
    <w:rsid w:val="00547D44"/>
    <w:rsid w:val="005527EB"/>
    <w:rsid w:val="00552C3D"/>
    <w:rsid w:val="0057019D"/>
    <w:rsid w:val="0057104B"/>
    <w:rsid w:val="005D4911"/>
    <w:rsid w:val="005F084C"/>
    <w:rsid w:val="00606920"/>
    <w:rsid w:val="0062565D"/>
    <w:rsid w:val="00642F85"/>
    <w:rsid w:val="006642F8"/>
    <w:rsid w:val="006777CC"/>
    <w:rsid w:val="006778DD"/>
    <w:rsid w:val="0068492E"/>
    <w:rsid w:val="00690228"/>
    <w:rsid w:val="006A2258"/>
    <w:rsid w:val="006F678B"/>
    <w:rsid w:val="006F7BB1"/>
    <w:rsid w:val="0073369C"/>
    <w:rsid w:val="00734ABF"/>
    <w:rsid w:val="0073512D"/>
    <w:rsid w:val="00735EA2"/>
    <w:rsid w:val="00743553"/>
    <w:rsid w:val="00760E6E"/>
    <w:rsid w:val="007638E9"/>
    <w:rsid w:val="00773727"/>
    <w:rsid w:val="007A4198"/>
    <w:rsid w:val="007C63EB"/>
    <w:rsid w:val="007D0DDC"/>
    <w:rsid w:val="007D15C0"/>
    <w:rsid w:val="007E560F"/>
    <w:rsid w:val="007F1033"/>
    <w:rsid w:val="0080237D"/>
    <w:rsid w:val="008164E1"/>
    <w:rsid w:val="00831127"/>
    <w:rsid w:val="00842F66"/>
    <w:rsid w:val="008615D2"/>
    <w:rsid w:val="00874AF0"/>
    <w:rsid w:val="00880C52"/>
    <w:rsid w:val="00891630"/>
    <w:rsid w:val="008B2E8B"/>
    <w:rsid w:val="008B4B62"/>
    <w:rsid w:val="008D0D83"/>
    <w:rsid w:val="008D6EC7"/>
    <w:rsid w:val="008E39D5"/>
    <w:rsid w:val="008E7505"/>
    <w:rsid w:val="009231D0"/>
    <w:rsid w:val="009309A4"/>
    <w:rsid w:val="00935AF4"/>
    <w:rsid w:val="00937258"/>
    <w:rsid w:val="00940230"/>
    <w:rsid w:val="009469DE"/>
    <w:rsid w:val="00967658"/>
    <w:rsid w:val="009916DB"/>
    <w:rsid w:val="009A146E"/>
    <w:rsid w:val="009B0604"/>
    <w:rsid w:val="009B234A"/>
    <w:rsid w:val="009B42F2"/>
    <w:rsid w:val="009B4848"/>
    <w:rsid w:val="009B6E20"/>
    <w:rsid w:val="00A039FD"/>
    <w:rsid w:val="00A068A1"/>
    <w:rsid w:val="00A3212C"/>
    <w:rsid w:val="00A64B3F"/>
    <w:rsid w:val="00A707AC"/>
    <w:rsid w:val="00A87F3A"/>
    <w:rsid w:val="00A93801"/>
    <w:rsid w:val="00A93FFD"/>
    <w:rsid w:val="00AA4764"/>
    <w:rsid w:val="00AE2528"/>
    <w:rsid w:val="00AF0BC9"/>
    <w:rsid w:val="00AF130F"/>
    <w:rsid w:val="00B13948"/>
    <w:rsid w:val="00B177F4"/>
    <w:rsid w:val="00B300A7"/>
    <w:rsid w:val="00B7771D"/>
    <w:rsid w:val="00B96DD7"/>
    <w:rsid w:val="00BA0CA5"/>
    <w:rsid w:val="00BB54A5"/>
    <w:rsid w:val="00BF6F90"/>
    <w:rsid w:val="00BF773E"/>
    <w:rsid w:val="00C34F72"/>
    <w:rsid w:val="00C517CC"/>
    <w:rsid w:val="00C70705"/>
    <w:rsid w:val="00C71379"/>
    <w:rsid w:val="00C73439"/>
    <w:rsid w:val="00CA2478"/>
    <w:rsid w:val="00CB469D"/>
    <w:rsid w:val="00CD7C82"/>
    <w:rsid w:val="00CE657B"/>
    <w:rsid w:val="00D012C6"/>
    <w:rsid w:val="00D20070"/>
    <w:rsid w:val="00D31427"/>
    <w:rsid w:val="00D37013"/>
    <w:rsid w:val="00D537AA"/>
    <w:rsid w:val="00D5626B"/>
    <w:rsid w:val="00D76C67"/>
    <w:rsid w:val="00D8270F"/>
    <w:rsid w:val="00D93043"/>
    <w:rsid w:val="00DA4505"/>
    <w:rsid w:val="00DB0488"/>
    <w:rsid w:val="00DC283B"/>
    <w:rsid w:val="00DD51F0"/>
    <w:rsid w:val="00DF0305"/>
    <w:rsid w:val="00E024C9"/>
    <w:rsid w:val="00E07306"/>
    <w:rsid w:val="00E1065A"/>
    <w:rsid w:val="00E16C26"/>
    <w:rsid w:val="00E26D84"/>
    <w:rsid w:val="00E3476E"/>
    <w:rsid w:val="00E50379"/>
    <w:rsid w:val="00E51FAC"/>
    <w:rsid w:val="00E66034"/>
    <w:rsid w:val="00E66640"/>
    <w:rsid w:val="00E674E2"/>
    <w:rsid w:val="00E75E13"/>
    <w:rsid w:val="00E96157"/>
    <w:rsid w:val="00EA291E"/>
    <w:rsid w:val="00EA481E"/>
    <w:rsid w:val="00EB46D0"/>
    <w:rsid w:val="00EC3BB1"/>
    <w:rsid w:val="00EF2BD2"/>
    <w:rsid w:val="00EF4A98"/>
    <w:rsid w:val="00F2471B"/>
    <w:rsid w:val="00F3031E"/>
    <w:rsid w:val="00F65887"/>
    <w:rsid w:val="00F816C7"/>
    <w:rsid w:val="00F87E02"/>
    <w:rsid w:val="00F93DBF"/>
    <w:rsid w:val="00FB4D89"/>
    <w:rsid w:val="00FB5158"/>
    <w:rsid w:val="00FC7684"/>
    <w:rsid w:val="00FD2DE0"/>
    <w:rsid w:val="00FD665C"/>
    <w:rsid w:val="00FE2076"/>
    <w:rsid w:val="00FE2725"/>
    <w:rsid w:val="00FE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045"/>
    <w:rPr>
      <w:color w:val="0000FF"/>
      <w:u w:val="single"/>
    </w:rPr>
  </w:style>
  <w:style w:type="paragraph" w:styleId="NormalWeb">
    <w:name w:val="Normal (Web)"/>
    <w:basedOn w:val="Normal"/>
    <w:uiPriority w:val="99"/>
    <w:unhideWhenUsed/>
    <w:rsid w:val="00C707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F2BD2"/>
    <w:rPr>
      <w:color w:val="605E5C"/>
      <w:shd w:val="clear" w:color="auto" w:fill="E1DFDD"/>
    </w:rPr>
  </w:style>
  <w:style w:type="paragraph" w:styleId="ListParagraph">
    <w:name w:val="List Paragraph"/>
    <w:basedOn w:val="Normal"/>
    <w:uiPriority w:val="34"/>
    <w:qFormat/>
    <w:rsid w:val="006642F8"/>
    <w:pPr>
      <w:ind w:left="720"/>
      <w:contextualSpacing/>
    </w:pPr>
  </w:style>
  <w:style w:type="paragraph" w:styleId="BalloonText">
    <w:name w:val="Balloon Text"/>
    <w:basedOn w:val="Normal"/>
    <w:link w:val="BalloonTextChar"/>
    <w:uiPriority w:val="99"/>
    <w:semiHidden/>
    <w:unhideWhenUsed/>
    <w:rsid w:val="00432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045"/>
    <w:rPr>
      <w:color w:val="0000FF"/>
      <w:u w:val="single"/>
    </w:rPr>
  </w:style>
  <w:style w:type="paragraph" w:styleId="NormalWeb">
    <w:name w:val="Normal (Web)"/>
    <w:basedOn w:val="Normal"/>
    <w:uiPriority w:val="99"/>
    <w:unhideWhenUsed/>
    <w:rsid w:val="00C707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F2BD2"/>
    <w:rPr>
      <w:color w:val="605E5C"/>
      <w:shd w:val="clear" w:color="auto" w:fill="E1DFDD"/>
    </w:rPr>
  </w:style>
  <w:style w:type="paragraph" w:styleId="ListParagraph">
    <w:name w:val="List Paragraph"/>
    <w:basedOn w:val="Normal"/>
    <w:uiPriority w:val="34"/>
    <w:qFormat/>
    <w:rsid w:val="006642F8"/>
    <w:pPr>
      <w:ind w:left="720"/>
      <w:contextualSpacing/>
    </w:pPr>
  </w:style>
  <w:style w:type="paragraph" w:styleId="BalloonText">
    <w:name w:val="Balloon Text"/>
    <w:basedOn w:val="Normal"/>
    <w:link w:val="BalloonTextChar"/>
    <w:uiPriority w:val="99"/>
    <w:semiHidden/>
    <w:unhideWhenUsed/>
    <w:rsid w:val="00432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2737">
      <w:bodyDiv w:val="1"/>
      <w:marLeft w:val="0"/>
      <w:marRight w:val="0"/>
      <w:marTop w:val="0"/>
      <w:marBottom w:val="0"/>
      <w:divBdr>
        <w:top w:val="none" w:sz="0" w:space="0" w:color="auto"/>
        <w:left w:val="none" w:sz="0" w:space="0" w:color="auto"/>
        <w:bottom w:val="none" w:sz="0" w:space="0" w:color="auto"/>
        <w:right w:val="none" w:sz="0" w:space="0" w:color="auto"/>
      </w:divBdr>
    </w:div>
    <w:div w:id="561915058">
      <w:bodyDiv w:val="1"/>
      <w:marLeft w:val="0"/>
      <w:marRight w:val="0"/>
      <w:marTop w:val="0"/>
      <w:marBottom w:val="0"/>
      <w:divBdr>
        <w:top w:val="none" w:sz="0" w:space="0" w:color="auto"/>
        <w:left w:val="none" w:sz="0" w:space="0" w:color="auto"/>
        <w:bottom w:val="none" w:sz="0" w:space="0" w:color="auto"/>
        <w:right w:val="none" w:sz="0" w:space="0" w:color="auto"/>
      </w:divBdr>
    </w:div>
    <w:div w:id="6726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hyperlink" Target="http://www.propublica.org/datasto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re\AppData\Roaming\Microsoft\Excel\draft%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dre\AppData\Roaming\Microsoft\Excel\draft%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dre\AppData\Roaming\Microsoft\Excel\draft%20(version%201).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dre\AppData\Roaming\Microsoft\Excel\draft%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dre\AppData\Roaming\Microsoft\Excel\draft%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dre\AppData\Roaming\Microsoft\Excel\draft%20(version%201).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dre\AppData\Roaming\Microsoft\Excel\draft%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1: Precincts share Allegations 2012-2018</a:t>
            </a:r>
            <a:endParaRPr lang="en-US"/>
          </a:p>
        </c:rich>
      </c:tx>
      <c:overlay val="0"/>
      <c:spPr>
        <a:noFill/>
        <a:ln>
          <a:noFill/>
        </a:ln>
        <a:effectLst/>
      </c:spPr>
    </c:title>
    <c:autoTitleDeleted val="0"/>
    <c:plotArea>
      <c:layout>
        <c:manualLayout>
          <c:layoutTarget val="inner"/>
          <c:xMode val="edge"/>
          <c:yMode val="edge"/>
          <c:x val="0.1227060367454068"/>
          <c:y val="0.16708333333333336"/>
          <c:w val="0.84396062992125986"/>
          <c:h val="0.62271617089530473"/>
        </c:manualLayout>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36</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F52B-4D5F-BE03-4D87A5EF1B6A}"/>
                </c:ext>
              </c:extLst>
            </c:dLbl>
            <c:dLbl>
              <c:idx val="1"/>
              <c:tx>
                <c:rich>
                  <a:bodyPr/>
                  <a:lstStyle/>
                  <a:p>
                    <a:r>
                      <a:rPr lang="en-US"/>
                      <a:t>48</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F52B-4D5F-BE03-4D87A5EF1B6A}"/>
                </c:ext>
              </c:extLst>
            </c:dLbl>
            <c:dLbl>
              <c:idx val="2"/>
              <c:tx>
                <c:rich>
                  <a:bodyPr/>
                  <a:lstStyle/>
                  <a:p>
                    <a:r>
                      <a:rPr lang="en-US"/>
                      <a:t>45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4.2000000000000003E-2"/>
                      <c:h val="6.4745552639253412E-2"/>
                    </c:manualLayout>
                  </c15:layout>
                  <c15:showDataLabelsRange val="0"/>
                </c:ext>
                <c:ext xmlns:c16="http://schemas.microsoft.com/office/drawing/2014/chart" uri="{C3380CC4-5D6E-409C-BE32-E72D297353CC}">
                  <c16:uniqueId val="{00000004-F52B-4D5F-BE03-4D87A5EF1B6A}"/>
                </c:ext>
              </c:extLst>
            </c:dLbl>
            <c:dLbl>
              <c:idx val="3"/>
              <c:tx>
                <c:rich>
                  <a:bodyPr/>
                  <a:lstStyle/>
                  <a:p>
                    <a:r>
                      <a:rPr lang="en-US"/>
                      <a:t>34</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F52B-4D5F-BE03-4D87A5EF1B6A}"/>
                </c:ext>
              </c:extLst>
            </c:dLbl>
            <c:dLbl>
              <c:idx val="4"/>
              <c:tx>
                <c:rich>
                  <a:bodyPr/>
                  <a:lstStyle/>
                  <a:p>
                    <a:r>
                      <a:rPr lang="en-US"/>
                      <a:t>23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F52B-4D5F-BE03-4D87A5EF1B6A}"/>
                </c:ext>
              </c:extLst>
            </c:dLbl>
            <c:dLbl>
              <c:idx val="5"/>
              <c:tx>
                <c:rich>
                  <a:bodyPr/>
                  <a:lstStyle/>
                  <a:p>
                    <a:r>
                      <a:rPr lang="en-US"/>
                      <a:t>17</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F52B-4D5F-BE03-4D87A5EF1B6A}"/>
                </c:ext>
              </c:extLst>
            </c:dLbl>
            <c:dLbl>
              <c:idx val="6"/>
              <c:tx>
                <c:rich>
                  <a:bodyPr/>
                  <a:lstStyle/>
                  <a:p>
                    <a:r>
                      <a:rPr lang="en-US"/>
                      <a:t>17</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F52B-4D5F-BE03-4D87A5EF1B6A}"/>
                </c:ext>
              </c:extLst>
            </c:dLbl>
            <c:dLbl>
              <c:idx val="7"/>
              <c:tx>
                <c:rich>
                  <a:bodyPr/>
                  <a:lstStyle/>
                  <a:p>
                    <a:r>
                      <a:rPr lang="en-US"/>
                      <a:t>18</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F52B-4D5F-BE03-4D87A5EF1B6A}"/>
                </c:ext>
              </c:extLst>
            </c:dLbl>
            <c:dLbl>
              <c:idx val="8"/>
              <c:tx>
                <c:rich>
                  <a:bodyPr/>
                  <a:lstStyle/>
                  <a:p>
                    <a:r>
                      <a:rPr lang="en-US"/>
                      <a:t>17</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A-F52B-4D5F-BE03-4D87A5EF1B6A}"/>
                </c:ext>
              </c:extLst>
            </c:dLbl>
            <c:dLbl>
              <c:idx val="9"/>
              <c:tx>
                <c:rich>
                  <a:bodyPr/>
                  <a:lstStyle/>
                  <a:p>
                    <a:r>
                      <a:rPr lang="en-US"/>
                      <a:t>14</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F52B-4D5F-BE03-4D87A5EF1B6A}"/>
                </c:ext>
              </c:extLst>
            </c:dLbl>
            <c:dLbl>
              <c:idx val="10"/>
              <c:tx>
                <c:rich>
                  <a:bodyPr/>
                  <a:lstStyle/>
                  <a:p>
                    <a:r>
                      <a:rPr lang="en-US"/>
                      <a:t>15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C-F52B-4D5F-BE03-4D87A5EF1B6A}"/>
                </c:ext>
              </c:extLst>
            </c:dLbl>
            <c:dLbl>
              <c:idx val="11"/>
              <c:tx>
                <c:rich>
                  <a:bodyPr/>
                  <a:lstStyle/>
                  <a:p>
                    <a:r>
                      <a:rPr lang="en-US"/>
                      <a:t>15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D-F52B-4D5F-BE03-4D87A5EF1B6A}"/>
                </c:ext>
              </c:extLst>
            </c:dLbl>
            <c:dLbl>
              <c:idx val="12"/>
              <c:tx>
                <c:rich>
                  <a:bodyPr/>
                  <a:lstStyle/>
                  <a:p>
                    <a:r>
                      <a:rPr lang="en-US"/>
                      <a:t>21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E-F52B-4D5F-BE03-4D87A5EF1B6A}"/>
                </c:ext>
              </c:extLst>
            </c:dLbl>
            <c:dLbl>
              <c:idx val="13"/>
              <c:tx>
                <c:rich>
                  <a:bodyPr/>
                  <a:lstStyle/>
                  <a:p>
                    <a:r>
                      <a:rPr lang="en-US"/>
                      <a:t>18</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F-F52B-4D5F-BE03-4D87A5EF1B6A}"/>
                </c:ext>
              </c:extLst>
            </c:dLbl>
            <c:dLbl>
              <c:idx val="14"/>
              <c:tx>
                <c:rich>
                  <a:bodyPr/>
                  <a:lstStyle/>
                  <a:p>
                    <a:r>
                      <a:rPr lang="en-US"/>
                      <a:t>13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0-F52B-4D5F-BE03-4D87A5EF1B6A}"/>
                </c:ext>
              </c:extLst>
            </c:dLbl>
            <c:dLbl>
              <c:idx val="15"/>
              <c:tx>
                <c:rich>
                  <a:bodyPr/>
                  <a:lstStyle/>
                  <a:p>
                    <a:r>
                      <a:rPr lang="en-US"/>
                      <a:t>20</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1-F52B-4D5F-BE03-4D87A5EF1B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Sheet1!$AK$1:$AK$16</c:f>
              <c:numCache>
                <c:formatCode>General</c:formatCode>
                <c:ptCount val="16"/>
                <c:pt idx="0">
                  <c:v>100</c:v>
                </c:pt>
                <c:pt idx="1">
                  <c:v>101</c:v>
                </c:pt>
                <c:pt idx="2">
                  <c:v>102</c:v>
                </c:pt>
                <c:pt idx="3">
                  <c:v>103</c:v>
                </c:pt>
                <c:pt idx="4">
                  <c:v>104</c:v>
                </c:pt>
                <c:pt idx="5">
                  <c:v>105</c:v>
                </c:pt>
                <c:pt idx="6">
                  <c:v>106</c:v>
                </c:pt>
                <c:pt idx="7">
                  <c:v>107</c:v>
                </c:pt>
                <c:pt idx="8">
                  <c:v>108</c:v>
                </c:pt>
                <c:pt idx="9">
                  <c:v>109</c:v>
                </c:pt>
                <c:pt idx="10">
                  <c:v>110</c:v>
                </c:pt>
                <c:pt idx="11">
                  <c:v>111</c:v>
                </c:pt>
                <c:pt idx="12">
                  <c:v>112</c:v>
                </c:pt>
                <c:pt idx="13">
                  <c:v>113</c:v>
                </c:pt>
                <c:pt idx="14">
                  <c:v>114</c:v>
                </c:pt>
                <c:pt idx="15">
                  <c:v>115</c:v>
                </c:pt>
              </c:numCache>
            </c:numRef>
          </c:cat>
          <c:val>
            <c:numRef>
              <c:f>Sheet1!$AL$1:$AL$16</c:f>
              <c:numCache>
                <c:formatCode>General</c:formatCode>
                <c:ptCount val="16"/>
                <c:pt idx="0">
                  <c:v>9</c:v>
                </c:pt>
                <c:pt idx="1">
                  <c:v>13.1</c:v>
                </c:pt>
                <c:pt idx="2">
                  <c:v>12.7</c:v>
                </c:pt>
                <c:pt idx="3">
                  <c:v>9.6</c:v>
                </c:pt>
                <c:pt idx="4">
                  <c:v>6.5</c:v>
                </c:pt>
                <c:pt idx="5">
                  <c:v>4.8</c:v>
                </c:pt>
                <c:pt idx="6">
                  <c:v>4.8</c:v>
                </c:pt>
                <c:pt idx="7">
                  <c:v>5</c:v>
                </c:pt>
                <c:pt idx="8">
                  <c:v>4.8</c:v>
                </c:pt>
                <c:pt idx="9">
                  <c:v>3.9</c:v>
                </c:pt>
                <c:pt idx="10">
                  <c:v>4.2</c:v>
                </c:pt>
                <c:pt idx="11">
                  <c:v>4.2</c:v>
                </c:pt>
                <c:pt idx="12">
                  <c:v>5.9</c:v>
                </c:pt>
                <c:pt idx="13">
                  <c:v>5</c:v>
                </c:pt>
                <c:pt idx="14">
                  <c:v>3.6</c:v>
                </c:pt>
                <c:pt idx="15">
                  <c:v>5.6</c:v>
                </c:pt>
              </c:numCache>
            </c:numRef>
          </c:val>
          <c:extLst xmlns:c16r2="http://schemas.microsoft.com/office/drawing/2015/06/chart">
            <c:ext xmlns:c16="http://schemas.microsoft.com/office/drawing/2014/chart" uri="{C3380CC4-5D6E-409C-BE32-E72D297353CC}">
              <c16:uniqueId val="{00000000-F52B-4D5F-BE03-4D87A5EF1B6A}"/>
            </c:ext>
          </c:extLst>
        </c:ser>
        <c:dLbls>
          <c:dLblPos val="outEnd"/>
          <c:showLegendKey val="0"/>
          <c:showVal val="1"/>
          <c:showCatName val="0"/>
          <c:showSerName val="0"/>
          <c:showPercent val="0"/>
          <c:showBubbleSize val="0"/>
        </c:dLbls>
        <c:gapWidth val="219"/>
        <c:overlap val="-27"/>
        <c:axId val="221945344"/>
        <c:axId val="232995008"/>
      </c:barChart>
      <c:catAx>
        <c:axId val="221945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Precincts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995008"/>
        <c:crosses val="autoZero"/>
        <c:auto val="1"/>
        <c:lblAlgn val="ctr"/>
        <c:lblOffset val="100"/>
        <c:noMultiLvlLbl val="0"/>
      </c:catAx>
      <c:valAx>
        <c:axId val="232995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945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1: Percentage of Queens Allegations in Precincts VS. New York City</a:t>
            </a:r>
            <a:endParaRPr lang="en-US"/>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1C6-4DED-A694-9F8B7F32796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1C6-4DED-A694-9F8B7F32796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Sheet1!$R$2:$R$3</c:f>
              <c:strCache>
                <c:ptCount val="2"/>
                <c:pt idx="0">
                  <c:v>all in new york</c:v>
                </c:pt>
                <c:pt idx="1">
                  <c:v>queens allegations</c:v>
                </c:pt>
              </c:strCache>
            </c:strRef>
          </c:cat>
          <c:val>
            <c:numRef>
              <c:f>Sheet1!$S$2:$S$3</c:f>
              <c:numCache>
                <c:formatCode>General</c:formatCode>
                <c:ptCount val="2"/>
                <c:pt idx="0">
                  <c:v>89.3</c:v>
                </c:pt>
                <c:pt idx="1">
                  <c:v>10.7</c:v>
                </c:pt>
              </c:numCache>
            </c:numRef>
          </c:val>
          <c:extLst xmlns:c16r2="http://schemas.microsoft.com/office/drawing/2015/06/chart">
            <c:ext xmlns:c16="http://schemas.microsoft.com/office/drawing/2014/chart" uri="{C3380CC4-5D6E-409C-BE32-E72D297353CC}">
              <c16:uniqueId val="{00000004-A1C6-4DED-A694-9F8B7F32796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Percentages</a:t>
            </a:r>
            <a:r>
              <a:rPr lang="en-US" baseline="0"/>
              <a:t> of Allegation categories in Queens Precincts</a:t>
            </a:r>
            <a:endParaRPr lang="en-US"/>
          </a:p>
        </c:rich>
      </c:tx>
      <c:overlay val="0"/>
      <c:spPr>
        <a:noFill/>
        <a:ln>
          <a:noFill/>
        </a:ln>
        <a:effectLst/>
      </c:spPr>
    </c:title>
    <c:autoTitleDeleted val="0"/>
    <c:plotArea>
      <c:layout>
        <c:manualLayout>
          <c:layoutTarget val="inner"/>
          <c:xMode val="edge"/>
          <c:yMode val="edge"/>
          <c:x val="0.26800721784776904"/>
          <c:y val="0.17634259259259263"/>
          <c:w val="0.40287467191601051"/>
          <c:h val="0.6714577865266842"/>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EAF-4D10-A898-5FC3A3D111F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EAF-4D10-A898-5FC3A3D111F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EAF-4D10-A898-5FC3A3D111F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EAF-4D10-A898-5FC3A3D111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Sheet1!$O$2:$O$5</c:f>
              <c:strCache>
                <c:ptCount val="4"/>
                <c:pt idx="0">
                  <c:v>force</c:v>
                </c:pt>
                <c:pt idx="1">
                  <c:v>abuse of authority</c:v>
                </c:pt>
                <c:pt idx="2">
                  <c:v>offensive language</c:v>
                </c:pt>
                <c:pt idx="3">
                  <c:v>discourtesy</c:v>
                </c:pt>
              </c:strCache>
            </c:strRef>
          </c:cat>
          <c:val>
            <c:numRef>
              <c:f>Sheet1!$P$2:$P$5</c:f>
              <c:numCache>
                <c:formatCode>General</c:formatCode>
                <c:ptCount val="4"/>
                <c:pt idx="0">
                  <c:v>18.2</c:v>
                </c:pt>
                <c:pt idx="1">
                  <c:v>66.7</c:v>
                </c:pt>
                <c:pt idx="2">
                  <c:v>2.7</c:v>
                </c:pt>
                <c:pt idx="3">
                  <c:v>12.4</c:v>
                </c:pt>
              </c:numCache>
            </c:numRef>
          </c:val>
          <c:extLst xmlns:c16r2="http://schemas.microsoft.com/office/drawing/2015/06/chart">
            <c:ext xmlns:c16="http://schemas.microsoft.com/office/drawing/2014/chart" uri="{C3380CC4-5D6E-409C-BE32-E72D297353CC}">
              <c16:uniqueId val="{00000008-7EAF-4D10-A898-5FC3A3D111F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effectLst/>
              </a:rPr>
              <a:t>Figure 2: Abuse of Authority Allegations in Queens Precincts</a:t>
            </a:r>
            <a:endParaRPr lang="en-US" sz="1200">
              <a:effectLst/>
            </a:endParaRPr>
          </a:p>
        </c:rich>
      </c:tx>
      <c:overlay val="0"/>
      <c:spPr>
        <a:noFill/>
        <a:ln>
          <a:noFill/>
        </a:ln>
        <a:effectLst/>
      </c:spPr>
    </c:title>
    <c:autoTitleDeleted val="0"/>
    <c:plotArea>
      <c:layout/>
      <c:barChart>
        <c:barDir val="col"/>
        <c:grouping val="clustered"/>
        <c:varyColors val="0"/>
        <c:ser>
          <c:idx val="0"/>
          <c:order val="0"/>
          <c:tx>
            <c:strRef>
              <c:f>Sheet1!$AC$2</c:f>
              <c:strCache>
                <c:ptCount val="1"/>
              </c:strCache>
            </c:strRef>
          </c:tx>
          <c:spPr>
            <a:solidFill>
              <a:schemeClr val="accent1"/>
            </a:solidFill>
            <a:ln>
              <a:noFill/>
            </a:ln>
            <a:effectLst/>
          </c:spPr>
          <c:invertIfNegative val="0"/>
          <c:dLbls>
            <c:dLbl>
              <c:idx val="0"/>
              <c:tx>
                <c:rich>
                  <a:bodyPr/>
                  <a:lstStyle/>
                  <a:p>
                    <a:r>
                      <a:rPr lang="en-US"/>
                      <a:t>21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829-4268-9024-939C7119A113}"/>
                </c:ext>
              </c:extLst>
            </c:dLbl>
            <c:dLbl>
              <c:idx val="1"/>
              <c:tx>
                <c:rich>
                  <a:bodyPr/>
                  <a:lstStyle/>
                  <a:p>
                    <a:r>
                      <a:rPr lang="en-US"/>
                      <a:t>31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7829-4268-9024-939C7119A113}"/>
                </c:ext>
              </c:extLst>
            </c:dLbl>
            <c:dLbl>
              <c:idx val="2"/>
              <c:tx>
                <c:rich>
                  <a:bodyPr/>
                  <a:lstStyle/>
                  <a:p>
                    <a:r>
                      <a:rPr lang="en-US"/>
                      <a:t>22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7829-4268-9024-939C7119A113}"/>
                </c:ext>
              </c:extLst>
            </c:dLbl>
            <c:dLbl>
              <c:idx val="3"/>
              <c:tx>
                <c:rich>
                  <a:bodyPr/>
                  <a:lstStyle/>
                  <a:p>
                    <a:r>
                      <a:rPr lang="en-US"/>
                      <a:t>22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7829-4268-9024-939C7119A113}"/>
                </c:ext>
              </c:extLst>
            </c:dLbl>
            <c:dLbl>
              <c:idx val="4"/>
              <c:tx>
                <c:rich>
                  <a:bodyPr/>
                  <a:lstStyle/>
                  <a:p>
                    <a:r>
                      <a:rPr lang="en-US"/>
                      <a:t>17</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7829-4268-9024-939C7119A113}"/>
                </c:ext>
              </c:extLst>
            </c:dLbl>
            <c:dLbl>
              <c:idx val="5"/>
              <c:tx>
                <c:rich>
                  <a:bodyPr/>
                  <a:lstStyle/>
                  <a:p>
                    <a:r>
                      <a:rPr lang="en-US"/>
                      <a:t>11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7829-4268-9024-939C7119A113}"/>
                </c:ext>
              </c:extLst>
            </c:dLbl>
            <c:dLbl>
              <c:idx val="6"/>
              <c:tx>
                <c:rich>
                  <a:bodyPr/>
                  <a:lstStyle/>
                  <a:p>
                    <a:r>
                      <a:rPr lang="en-US"/>
                      <a:t>12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7829-4268-9024-939C7119A113}"/>
                </c:ext>
              </c:extLst>
            </c:dLbl>
            <c:dLbl>
              <c:idx val="7"/>
              <c:tx>
                <c:rich>
                  <a:bodyPr/>
                  <a:lstStyle/>
                  <a:p>
                    <a:r>
                      <a:rPr lang="en-US"/>
                      <a:t>16</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7829-4268-9024-939C7119A113}"/>
                </c:ext>
              </c:extLst>
            </c:dLbl>
            <c:dLbl>
              <c:idx val="8"/>
              <c:tx>
                <c:rich>
                  <a:bodyPr/>
                  <a:lstStyle/>
                  <a:p>
                    <a:r>
                      <a:rPr lang="en-US"/>
                      <a:t>15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A-7829-4268-9024-939C7119A113}"/>
                </c:ext>
              </c:extLst>
            </c:dLbl>
            <c:dLbl>
              <c:idx val="9"/>
              <c:tx>
                <c:rich>
                  <a:bodyPr/>
                  <a:lstStyle/>
                  <a:p>
                    <a:r>
                      <a:rPr lang="en-US"/>
                      <a:t>8</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7829-4268-9024-939C7119A113}"/>
                </c:ext>
              </c:extLst>
            </c:dLbl>
            <c:dLbl>
              <c:idx val="10"/>
              <c:tx>
                <c:rich>
                  <a:bodyPr/>
                  <a:lstStyle/>
                  <a:p>
                    <a:r>
                      <a:rPr lang="en-US"/>
                      <a:t>10</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C-7829-4268-9024-939C7119A113}"/>
                </c:ext>
              </c:extLst>
            </c:dLbl>
            <c:dLbl>
              <c:idx val="11"/>
              <c:tx>
                <c:rich>
                  <a:bodyPr/>
                  <a:lstStyle/>
                  <a:p>
                    <a:r>
                      <a:rPr lang="en-US"/>
                      <a:t>14</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D-7829-4268-9024-939C7119A113}"/>
                </c:ext>
              </c:extLst>
            </c:dLbl>
            <c:dLbl>
              <c:idx val="12"/>
              <c:tx>
                <c:rich>
                  <a:bodyPr/>
                  <a:lstStyle/>
                  <a:p>
                    <a:r>
                      <a:rPr lang="en-US"/>
                      <a:t>15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E-7829-4268-9024-939C7119A113}"/>
                </c:ext>
              </c:extLst>
            </c:dLbl>
            <c:dLbl>
              <c:idx val="13"/>
              <c:tx>
                <c:rich>
                  <a:bodyPr/>
                  <a:lstStyle/>
                  <a:p>
                    <a:r>
                      <a:rPr lang="en-US"/>
                      <a:t>12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F-7829-4268-9024-939C7119A113}"/>
                </c:ext>
              </c:extLst>
            </c:dLbl>
            <c:dLbl>
              <c:idx val="14"/>
              <c:tx>
                <c:rich>
                  <a:bodyPr/>
                  <a:lstStyle/>
                  <a:p>
                    <a:r>
                      <a:rPr lang="en-US"/>
                      <a:t>8</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0-7829-4268-9024-939C7119A113}"/>
                </c:ext>
              </c:extLst>
            </c:dLbl>
            <c:dLbl>
              <c:idx val="15"/>
              <c:tx>
                <c:rich>
                  <a:bodyPr/>
                  <a:lstStyle/>
                  <a:p>
                    <a:r>
                      <a:rPr lang="en-US"/>
                      <a:t>13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1-7829-4268-9024-939C7119A1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Sheet1!$AB$3:$AB$18</c:f>
              <c:numCache>
                <c:formatCode>General</c:formatCode>
                <c:ptCount val="16"/>
                <c:pt idx="0">
                  <c:v>100</c:v>
                </c:pt>
                <c:pt idx="1">
                  <c:v>101</c:v>
                </c:pt>
                <c:pt idx="2">
                  <c:v>102</c:v>
                </c:pt>
                <c:pt idx="3">
                  <c:v>103</c:v>
                </c:pt>
                <c:pt idx="4">
                  <c:v>104</c:v>
                </c:pt>
                <c:pt idx="5">
                  <c:v>105</c:v>
                </c:pt>
                <c:pt idx="6">
                  <c:v>106</c:v>
                </c:pt>
                <c:pt idx="7">
                  <c:v>107</c:v>
                </c:pt>
                <c:pt idx="8">
                  <c:v>108</c:v>
                </c:pt>
                <c:pt idx="9">
                  <c:v>109</c:v>
                </c:pt>
                <c:pt idx="10">
                  <c:v>110</c:v>
                </c:pt>
                <c:pt idx="11">
                  <c:v>111</c:v>
                </c:pt>
                <c:pt idx="12">
                  <c:v>112</c:v>
                </c:pt>
                <c:pt idx="13">
                  <c:v>113</c:v>
                </c:pt>
                <c:pt idx="14">
                  <c:v>114</c:v>
                </c:pt>
                <c:pt idx="15">
                  <c:v>115</c:v>
                </c:pt>
              </c:numCache>
            </c:numRef>
          </c:cat>
          <c:val>
            <c:numRef>
              <c:f>Sheet1!$AC$3:$AC$18</c:f>
              <c:numCache>
                <c:formatCode>General</c:formatCode>
                <c:ptCount val="16"/>
                <c:pt idx="0">
                  <c:v>5.8</c:v>
                </c:pt>
                <c:pt idx="1">
                  <c:v>7</c:v>
                </c:pt>
                <c:pt idx="2">
                  <c:v>5.0999999999999996</c:v>
                </c:pt>
                <c:pt idx="3">
                  <c:v>6.4</c:v>
                </c:pt>
                <c:pt idx="4">
                  <c:v>7.3</c:v>
                </c:pt>
                <c:pt idx="5">
                  <c:v>6.4</c:v>
                </c:pt>
                <c:pt idx="6">
                  <c:v>7</c:v>
                </c:pt>
                <c:pt idx="7">
                  <c:v>8.8000000000000007</c:v>
                </c:pt>
                <c:pt idx="8">
                  <c:v>8.8000000000000007</c:v>
                </c:pt>
                <c:pt idx="9">
                  <c:v>7.2</c:v>
                </c:pt>
                <c:pt idx="10">
                  <c:v>6.6</c:v>
                </c:pt>
                <c:pt idx="11">
                  <c:v>9.3000000000000007</c:v>
                </c:pt>
                <c:pt idx="12">
                  <c:v>7.1</c:v>
                </c:pt>
                <c:pt idx="13">
                  <c:v>6.6</c:v>
                </c:pt>
                <c:pt idx="14">
                  <c:v>6.1</c:v>
                </c:pt>
                <c:pt idx="15">
                  <c:v>6.5</c:v>
                </c:pt>
              </c:numCache>
            </c:numRef>
          </c:val>
          <c:extLst xmlns:c16r2="http://schemas.microsoft.com/office/drawing/2015/06/chart">
            <c:ext xmlns:c16="http://schemas.microsoft.com/office/drawing/2014/chart" uri="{C3380CC4-5D6E-409C-BE32-E72D297353CC}">
              <c16:uniqueId val="{00000000-7829-4268-9024-939C7119A113}"/>
            </c:ext>
          </c:extLst>
        </c:ser>
        <c:dLbls>
          <c:dLblPos val="outEnd"/>
          <c:showLegendKey val="0"/>
          <c:showVal val="1"/>
          <c:showCatName val="0"/>
          <c:showSerName val="0"/>
          <c:showPercent val="0"/>
          <c:showBubbleSize val="0"/>
        </c:dLbls>
        <c:gapWidth val="219"/>
        <c:overlap val="-27"/>
        <c:axId val="243817984"/>
        <c:axId val="248149632"/>
      </c:barChart>
      <c:catAx>
        <c:axId val="243817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Precincts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149632"/>
        <c:crosses val="autoZero"/>
        <c:auto val="1"/>
        <c:lblAlgn val="ctr"/>
        <c:lblOffset val="100"/>
        <c:noMultiLvlLbl val="0"/>
      </c:catAx>
      <c:valAx>
        <c:axId val="248149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817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 Force Allegations in Queens</a:t>
            </a:r>
            <a:r>
              <a:rPr lang="en-US" baseline="0"/>
              <a:t> Precincts 2012-2018</a:t>
            </a:r>
            <a:endParaRPr lang="en-US"/>
          </a:p>
        </c:rich>
      </c:tx>
      <c:overlay val="0"/>
      <c:spPr>
        <a:noFill/>
        <a:ln>
          <a:noFill/>
        </a:ln>
        <a:effectLst/>
      </c:spPr>
    </c:title>
    <c:autoTitleDeleted val="0"/>
    <c:plotArea>
      <c:layout/>
      <c:barChart>
        <c:barDir val="col"/>
        <c:grouping val="clustered"/>
        <c:varyColors val="0"/>
        <c:ser>
          <c:idx val="0"/>
          <c:order val="0"/>
          <c:tx>
            <c:strRef>
              <c:f>Sheet1!$M$1</c:f>
              <c:strCache>
                <c:ptCount val="1"/>
              </c:strCache>
            </c:strRef>
          </c:tx>
          <c:spPr>
            <a:solidFill>
              <a:schemeClr val="accent1"/>
            </a:solidFill>
            <a:ln>
              <a:noFill/>
            </a:ln>
            <a:effectLst/>
          </c:spPr>
          <c:invertIfNegative val="0"/>
          <c:dLbls>
            <c:dLbl>
              <c:idx val="0"/>
              <c:tx>
                <c:rich>
                  <a:bodyPr/>
                  <a:lstStyle/>
                  <a:p>
                    <a:r>
                      <a:rPr lang="en-US"/>
                      <a:t>9</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9BFE-4FB5-BD5F-F684F8AC0969}"/>
                </c:ext>
              </c:extLst>
            </c:dLbl>
            <c:dLbl>
              <c:idx val="1"/>
              <c:tx>
                <c:rich>
                  <a:bodyPr/>
                  <a:lstStyle/>
                  <a:p>
                    <a:r>
                      <a:rPr lang="en-US"/>
                      <a:t>9</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9BFE-4FB5-BD5F-F684F8AC0969}"/>
                </c:ext>
              </c:extLst>
            </c:dLbl>
            <c:dLbl>
              <c:idx val="2"/>
              <c:tx>
                <c:rich>
                  <a:bodyPr/>
                  <a:lstStyle/>
                  <a:p>
                    <a:r>
                      <a:rPr lang="en-US"/>
                      <a:t>13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9BFE-4FB5-BD5F-F684F8AC0969}"/>
                </c:ext>
              </c:extLst>
            </c:dLbl>
            <c:dLbl>
              <c:idx val="3"/>
              <c:tx>
                <c:rich>
                  <a:bodyPr/>
                  <a:lstStyle/>
                  <a:p>
                    <a:r>
                      <a:rPr lang="en-US"/>
                      <a:t>7</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9BFE-4FB5-BD5F-F684F8AC0969}"/>
                </c:ext>
              </c:extLst>
            </c:dLbl>
            <c:dLbl>
              <c:idx val="4"/>
              <c:tx>
                <c:rich>
                  <a:bodyPr/>
                  <a:lstStyle/>
                  <a:p>
                    <a:r>
                      <a:rPr lang="en-US"/>
                      <a:t>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9BFE-4FB5-BD5F-F684F8AC0969}"/>
                </c:ext>
              </c:extLst>
            </c:dLbl>
            <c:dLbl>
              <c:idx val="5"/>
              <c:tx>
                <c:rich>
                  <a:bodyPr/>
                  <a:lstStyle/>
                  <a:p>
                    <a:r>
                      <a:rPr lang="en-US"/>
                      <a:t>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9BFE-4FB5-BD5F-F684F8AC0969}"/>
                </c:ext>
              </c:extLst>
            </c:dLbl>
            <c:dLbl>
              <c:idx val="6"/>
              <c:tx>
                <c:rich>
                  <a:bodyPr/>
                  <a:lstStyle/>
                  <a:p>
                    <a:r>
                      <a:rPr lang="en-US"/>
                      <a:t>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9BFE-4FB5-BD5F-F684F8AC0969}"/>
                </c:ext>
              </c:extLst>
            </c:dLbl>
            <c:dLbl>
              <c:idx val="7"/>
              <c:tx>
                <c:rich>
                  <a:bodyPr/>
                  <a:lstStyle/>
                  <a:p>
                    <a:r>
                      <a:rPr lang="en-US"/>
                      <a:t>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9BFE-4FB5-BD5F-F684F8AC0969}"/>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BFE-4FB5-BD5F-F684F8AC0969}"/>
                </c:ext>
              </c:extLst>
            </c:dLbl>
            <c:dLbl>
              <c:idx val="9"/>
              <c:tx>
                <c:rich>
                  <a:bodyPr/>
                  <a:lstStyle/>
                  <a:p>
                    <a:r>
                      <a:rPr lang="en-US"/>
                      <a:t>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9BFE-4FB5-BD5F-F684F8AC0969}"/>
                </c:ext>
              </c:extLst>
            </c:dLbl>
            <c:dLbl>
              <c:idx val="10"/>
              <c:tx>
                <c:rich>
                  <a:bodyPr/>
                  <a:lstStyle/>
                  <a:p>
                    <a:r>
                      <a:rPr lang="en-US"/>
                      <a:t>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C-9BFE-4FB5-BD5F-F684F8AC0969}"/>
                </c:ext>
              </c:extLst>
            </c:dLbl>
            <c:dLbl>
              <c:idx val="11"/>
              <c:tx>
                <c:rich>
                  <a:bodyPr/>
                  <a:lstStyle/>
                  <a:p>
                    <a:r>
                      <a:rPr lang="en-US"/>
                      <a:t>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D-9BFE-4FB5-BD5F-F684F8AC0969}"/>
                </c:ext>
              </c:extLst>
            </c:dLbl>
            <c:dLbl>
              <c:idx val="12"/>
              <c:tx>
                <c:rich>
                  <a:bodyPr/>
                  <a:lstStyle/>
                  <a:p>
                    <a:r>
                      <a:rPr lang="en-US"/>
                      <a:t>6</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E-9BFE-4FB5-BD5F-F684F8AC0969}"/>
                </c:ext>
              </c:extLst>
            </c:dLbl>
            <c:dLbl>
              <c:idx val="13"/>
              <c:tx>
                <c:rich>
                  <a:bodyPr/>
                  <a:lstStyle/>
                  <a:p>
                    <a:r>
                      <a:rPr lang="en-US"/>
                      <a:t>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F-9BFE-4FB5-BD5F-F684F8AC0969}"/>
                </c:ext>
              </c:extLst>
            </c:dLbl>
            <c:dLbl>
              <c:idx val="14"/>
              <c:tx>
                <c:rich>
                  <a:bodyPr/>
                  <a:lstStyle/>
                  <a:p>
                    <a:r>
                      <a:rPr lang="en-US"/>
                      <a:t>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0-9BFE-4FB5-BD5F-F684F8AC0969}"/>
                </c:ext>
              </c:extLst>
            </c:dLbl>
            <c:dLbl>
              <c:idx val="15"/>
              <c:tx>
                <c:rich>
                  <a:bodyPr/>
                  <a:lstStyle/>
                  <a:p>
                    <a:r>
                      <a:rPr lang="en-US"/>
                      <a:t>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1-9BFE-4FB5-BD5F-F684F8AC09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Sheet1!$L$2:$L$17</c:f>
              <c:numCache>
                <c:formatCode>General</c:formatCode>
                <c:ptCount val="16"/>
                <c:pt idx="0">
                  <c:v>100</c:v>
                </c:pt>
                <c:pt idx="1">
                  <c:v>101</c:v>
                </c:pt>
                <c:pt idx="2">
                  <c:v>102</c:v>
                </c:pt>
                <c:pt idx="3">
                  <c:v>103</c:v>
                </c:pt>
                <c:pt idx="4">
                  <c:v>104</c:v>
                </c:pt>
                <c:pt idx="5">
                  <c:v>105</c:v>
                </c:pt>
                <c:pt idx="6">
                  <c:v>106</c:v>
                </c:pt>
                <c:pt idx="7">
                  <c:v>107</c:v>
                </c:pt>
                <c:pt idx="8">
                  <c:v>108</c:v>
                </c:pt>
                <c:pt idx="9">
                  <c:v>109</c:v>
                </c:pt>
                <c:pt idx="10">
                  <c:v>110</c:v>
                </c:pt>
                <c:pt idx="11">
                  <c:v>111</c:v>
                </c:pt>
                <c:pt idx="12">
                  <c:v>112</c:v>
                </c:pt>
                <c:pt idx="13">
                  <c:v>113</c:v>
                </c:pt>
                <c:pt idx="14">
                  <c:v>114</c:v>
                </c:pt>
                <c:pt idx="15">
                  <c:v>115</c:v>
                </c:pt>
              </c:numCache>
            </c:numRef>
          </c:cat>
          <c:val>
            <c:numRef>
              <c:f>Sheet1!$M$2:$M$17</c:f>
              <c:numCache>
                <c:formatCode>General</c:formatCode>
                <c:ptCount val="16"/>
                <c:pt idx="0">
                  <c:v>25</c:v>
                </c:pt>
                <c:pt idx="1">
                  <c:v>20</c:v>
                </c:pt>
                <c:pt idx="2">
                  <c:v>28.8</c:v>
                </c:pt>
                <c:pt idx="3">
                  <c:v>8.8000000000000007</c:v>
                </c:pt>
                <c:pt idx="4">
                  <c:v>13</c:v>
                </c:pt>
                <c:pt idx="5">
                  <c:v>11.7</c:v>
                </c:pt>
                <c:pt idx="6">
                  <c:v>11.7</c:v>
                </c:pt>
                <c:pt idx="7">
                  <c:v>5.5</c:v>
                </c:pt>
                <c:pt idx="8">
                  <c:v>0</c:v>
                </c:pt>
                <c:pt idx="9">
                  <c:v>14.2</c:v>
                </c:pt>
                <c:pt idx="10">
                  <c:v>20</c:v>
                </c:pt>
                <c:pt idx="11">
                  <c:v>6.6</c:v>
                </c:pt>
                <c:pt idx="12">
                  <c:v>28.5</c:v>
                </c:pt>
                <c:pt idx="13">
                  <c:v>16.600000000000001</c:v>
                </c:pt>
                <c:pt idx="14">
                  <c:v>23</c:v>
                </c:pt>
                <c:pt idx="15">
                  <c:v>15</c:v>
                </c:pt>
              </c:numCache>
            </c:numRef>
          </c:val>
          <c:extLst xmlns:c16r2="http://schemas.microsoft.com/office/drawing/2015/06/chart">
            <c:ext xmlns:c16="http://schemas.microsoft.com/office/drawing/2014/chart" uri="{C3380CC4-5D6E-409C-BE32-E72D297353CC}">
              <c16:uniqueId val="{00000000-9BFE-4FB5-BD5F-F684F8AC0969}"/>
            </c:ext>
          </c:extLst>
        </c:ser>
        <c:dLbls>
          <c:dLblPos val="outEnd"/>
          <c:showLegendKey val="0"/>
          <c:showVal val="1"/>
          <c:showCatName val="0"/>
          <c:showSerName val="0"/>
          <c:showPercent val="0"/>
          <c:showBubbleSize val="0"/>
        </c:dLbls>
        <c:gapWidth val="219"/>
        <c:overlap val="-27"/>
        <c:axId val="255395328"/>
        <c:axId val="248151360"/>
      </c:barChart>
      <c:catAx>
        <c:axId val="255395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Precincts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151360"/>
        <c:crosses val="autoZero"/>
        <c:auto val="1"/>
        <c:lblAlgn val="ctr"/>
        <c:lblOffset val="100"/>
        <c:noMultiLvlLbl val="0"/>
      </c:catAx>
      <c:valAx>
        <c:axId val="248151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Percenatges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395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effectLst/>
              </a:rPr>
              <a:t>Figure 4: Discourtesy Allegations In Queens Precincts 2012-2018</a:t>
            </a:r>
            <a:endParaRPr lang="en-US" sz="1200">
              <a:effectLst/>
            </a:endParaRPr>
          </a:p>
        </c:rich>
      </c:tx>
      <c:overlay val="0"/>
      <c:spPr>
        <a:noFill/>
        <a:ln>
          <a:noFill/>
        </a:ln>
        <a:effectLst/>
      </c:spPr>
    </c:title>
    <c:autoTitleDeleted val="0"/>
    <c:plotArea>
      <c:layout/>
      <c:barChart>
        <c:barDir val="col"/>
        <c:grouping val="clustered"/>
        <c:varyColors val="0"/>
        <c:ser>
          <c:idx val="0"/>
          <c:order val="0"/>
          <c:tx>
            <c:strRef>
              <c:f>Sheet1!$J$1</c:f>
              <c:strCache>
                <c:ptCount val="1"/>
              </c:strCache>
            </c:strRef>
          </c:tx>
          <c:spPr>
            <a:solidFill>
              <a:schemeClr val="accent1"/>
            </a:solidFill>
            <a:ln>
              <a:noFill/>
            </a:ln>
            <a:effectLst/>
          </c:spPr>
          <c:invertIfNegative val="0"/>
          <c:dLbls>
            <c:dLbl>
              <c:idx val="0"/>
              <c:tx>
                <c:rich>
                  <a:bodyPr/>
                  <a:lstStyle/>
                  <a:p>
                    <a:r>
                      <a:rPr lang="en-US"/>
                      <a:t>4</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8D1E-464F-B22E-90288AB98EC8}"/>
                </c:ext>
              </c:extLst>
            </c:dLbl>
            <c:dLbl>
              <c:idx val="1"/>
              <c:tx>
                <c:rich>
                  <a:bodyPr/>
                  <a:lstStyle/>
                  <a:p>
                    <a:r>
                      <a:rPr lang="en-US"/>
                      <a:t>7</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8D1E-464F-B22E-90288AB98EC8}"/>
                </c:ext>
              </c:extLst>
            </c:dLbl>
            <c:dLbl>
              <c:idx val="2"/>
              <c:tx>
                <c:rich>
                  <a:bodyPr/>
                  <a:lstStyle/>
                  <a:p>
                    <a:r>
                      <a:rPr lang="en-US"/>
                      <a:t>6</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8D1E-464F-B22E-90288AB98EC8}"/>
                </c:ext>
              </c:extLst>
            </c:dLbl>
            <c:dLbl>
              <c:idx val="3"/>
              <c:tx>
                <c:rich>
                  <a:bodyPr/>
                  <a:lstStyle/>
                  <a:p>
                    <a:r>
                      <a:rPr lang="en-US"/>
                      <a:t>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8D1E-464F-B22E-90288AB98EC8}"/>
                </c:ext>
              </c:extLst>
            </c:dLbl>
            <c:dLbl>
              <c:idx val="4"/>
              <c:tx>
                <c:rich>
                  <a:bodyPr/>
                  <a:lstStyle/>
                  <a:p>
                    <a:r>
                      <a:rPr lang="en-US"/>
                      <a:t>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8D1E-464F-B22E-90288AB98EC8}"/>
                </c:ext>
              </c:extLst>
            </c:dLbl>
            <c:dLbl>
              <c:idx val="5"/>
              <c:tx>
                <c:rich>
                  <a:bodyPr/>
                  <a:lstStyle/>
                  <a:p>
                    <a:r>
                      <a:rPr lang="en-US"/>
                      <a:t>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8D1E-464F-B22E-90288AB98EC8}"/>
                </c:ext>
              </c:extLst>
            </c:dLbl>
            <c:dLbl>
              <c:idx val="6"/>
              <c:tx>
                <c:rich>
                  <a:bodyPr/>
                  <a:lstStyle/>
                  <a:p>
                    <a:r>
                      <a:rPr lang="en-US"/>
                      <a:t>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8D1E-464F-B22E-90288AB98EC8}"/>
                </c:ext>
              </c:extLst>
            </c:dLbl>
            <c:dLbl>
              <c:idx val="7"/>
              <c:tx>
                <c:rich>
                  <a:bodyPr/>
                  <a:lstStyle/>
                  <a:p>
                    <a:r>
                      <a:rPr lang="en-US"/>
                      <a:t>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8D1E-464F-B22E-90288AB98EC8}"/>
                </c:ext>
              </c:extLst>
            </c:dLbl>
            <c:dLbl>
              <c:idx val="8"/>
              <c:tx>
                <c:rich>
                  <a:bodyPr/>
                  <a:lstStyle/>
                  <a:p>
                    <a:r>
                      <a:rPr lang="en-US"/>
                      <a:t>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A-8D1E-464F-B22E-90288AB98EC8}"/>
                </c:ext>
              </c:extLst>
            </c:dLbl>
            <c:dLbl>
              <c:idx val="9"/>
              <c:tx>
                <c:rich>
                  <a:bodyPr/>
                  <a:lstStyle/>
                  <a:p>
                    <a:r>
                      <a:rPr lang="en-US"/>
                      <a:t>4</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8D1E-464F-B22E-90288AB98EC8}"/>
                </c:ext>
              </c:extLst>
            </c:dLbl>
            <c:dLbl>
              <c:idx val="10"/>
              <c:tx>
                <c:rich>
                  <a:bodyPr/>
                  <a:lstStyle/>
                  <a:p>
                    <a:r>
                      <a:rPr lang="en-US"/>
                      <a:t>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C-8D1E-464F-B22E-90288AB98EC8}"/>
                </c:ext>
              </c:extLst>
            </c:dLbl>
            <c:dLbl>
              <c:idx val="13"/>
              <c:tx>
                <c:rich>
                  <a:bodyPr/>
                  <a:lstStyle/>
                  <a:p>
                    <a:r>
                      <a:rPr lang="en-US"/>
                      <a:t>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D-8D1E-464F-B22E-90288AB98EC8}"/>
                </c:ext>
              </c:extLst>
            </c:dLbl>
            <c:dLbl>
              <c:idx val="14"/>
              <c:tx>
                <c:rich>
                  <a:bodyPr/>
                  <a:lstStyle/>
                  <a:p>
                    <a:r>
                      <a:rPr lang="en-US"/>
                      <a:t>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E-8D1E-464F-B22E-90288AB98EC8}"/>
                </c:ext>
              </c:extLst>
            </c:dLbl>
            <c:dLbl>
              <c:idx val="15"/>
              <c:tx>
                <c:rich>
                  <a:bodyPr/>
                  <a:lstStyle/>
                  <a:p>
                    <a:r>
                      <a:rPr lang="en-US"/>
                      <a:t>4</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F-8D1E-464F-B22E-90288AB98E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Sheet1!$I$2:$I$17</c:f>
              <c:numCache>
                <c:formatCode>General</c:formatCode>
                <c:ptCount val="16"/>
                <c:pt idx="0">
                  <c:v>100</c:v>
                </c:pt>
                <c:pt idx="1">
                  <c:v>101</c:v>
                </c:pt>
                <c:pt idx="2">
                  <c:v>102</c:v>
                </c:pt>
                <c:pt idx="3">
                  <c:v>103</c:v>
                </c:pt>
                <c:pt idx="4">
                  <c:v>104</c:v>
                </c:pt>
                <c:pt idx="5">
                  <c:v>105</c:v>
                </c:pt>
                <c:pt idx="6">
                  <c:v>106</c:v>
                </c:pt>
                <c:pt idx="7">
                  <c:v>107</c:v>
                </c:pt>
                <c:pt idx="8">
                  <c:v>108</c:v>
                </c:pt>
                <c:pt idx="9">
                  <c:v>109</c:v>
                </c:pt>
                <c:pt idx="10">
                  <c:v>110</c:v>
                </c:pt>
                <c:pt idx="11">
                  <c:v>111</c:v>
                </c:pt>
                <c:pt idx="12">
                  <c:v>112</c:v>
                </c:pt>
                <c:pt idx="13">
                  <c:v>113</c:v>
                </c:pt>
                <c:pt idx="14">
                  <c:v>114</c:v>
                </c:pt>
                <c:pt idx="15">
                  <c:v>115</c:v>
                </c:pt>
              </c:numCache>
            </c:numRef>
          </c:cat>
          <c:val>
            <c:numRef>
              <c:f>Sheet1!$J$2:$J$17</c:f>
              <c:numCache>
                <c:formatCode>General</c:formatCode>
                <c:ptCount val="16"/>
                <c:pt idx="0">
                  <c:v>12.5</c:v>
                </c:pt>
                <c:pt idx="1">
                  <c:v>17</c:v>
                </c:pt>
                <c:pt idx="2">
                  <c:v>13.9</c:v>
                </c:pt>
                <c:pt idx="3">
                  <c:v>14.7</c:v>
                </c:pt>
                <c:pt idx="4">
                  <c:v>8.6</c:v>
                </c:pt>
                <c:pt idx="5">
                  <c:v>11.7</c:v>
                </c:pt>
                <c:pt idx="6">
                  <c:v>17.600000000000001</c:v>
                </c:pt>
                <c:pt idx="7">
                  <c:v>11.7</c:v>
                </c:pt>
                <c:pt idx="8">
                  <c:v>11.7</c:v>
                </c:pt>
                <c:pt idx="9">
                  <c:v>28.5</c:v>
                </c:pt>
                <c:pt idx="10">
                  <c:v>13.3</c:v>
                </c:pt>
                <c:pt idx="13">
                  <c:v>11.1</c:v>
                </c:pt>
                <c:pt idx="14">
                  <c:v>15.3</c:v>
                </c:pt>
                <c:pt idx="15">
                  <c:v>20</c:v>
                </c:pt>
              </c:numCache>
            </c:numRef>
          </c:val>
          <c:extLst xmlns:c16r2="http://schemas.microsoft.com/office/drawing/2015/06/chart">
            <c:ext xmlns:c16="http://schemas.microsoft.com/office/drawing/2014/chart" uri="{C3380CC4-5D6E-409C-BE32-E72D297353CC}">
              <c16:uniqueId val="{00000000-8D1E-464F-B22E-90288AB98EC8}"/>
            </c:ext>
          </c:extLst>
        </c:ser>
        <c:dLbls>
          <c:dLblPos val="outEnd"/>
          <c:showLegendKey val="0"/>
          <c:showVal val="1"/>
          <c:showCatName val="0"/>
          <c:showSerName val="0"/>
          <c:showPercent val="0"/>
          <c:showBubbleSize val="0"/>
        </c:dLbls>
        <c:gapWidth val="219"/>
        <c:overlap val="-27"/>
        <c:axId val="221944320"/>
        <c:axId val="228975744"/>
      </c:barChart>
      <c:catAx>
        <c:axId val="221944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Precincts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975744"/>
        <c:crosses val="autoZero"/>
        <c:auto val="1"/>
        <c:lblAlgn val="ctr"/>
        <c:lblOffset val="100"/>
        <c:noMultiLvlLbl val="0"/>
      </c:catAx>
      <c:valAx>
        <c:axId val="228975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94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5: Offensive Language Allegations Percentages in 2012-2018</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59A5-480E-BF6A-C3FB1DCFE68D}"/>
                </c:ext>
              </c:extLst>
            </c:dLbl>
            <c:dLbl>
              <c:idx val="1"/>
              <c:tx>
                <c:rich>
                  <a:bodyPr/>
                  <a:lstStyle/>
                  <a:p>
                    <a:r>
                      <a:rPr lang="en-US"/>
                      <a:t>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59A5-480E-BF6A-C3FB1DCFE68D}"/>
                </c:ext>
              </c:extLst>
            </c:dLbl>
            <c:dLbl>
              <c:idx val="2"/>
              <c:tx>
                <c:rich>
                  <a:bodyPr/>
                  <a:lstStyle/>
                  <a:p>
                    <a:r>
                      <a:rPr lang="en-US"/>
                      <a:t>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59A5-480E-BF6A-C3FB1DCFE68D}"/>
                </c:ext>
              </c:extLst>
            </c:dLbl>
            <c:dLbl>
              <c:idx val="4"/>
              <c:tx>
                <c:rich>
                  <a:bodyPr/>
                  <a:lstStyle/>
                  <a:p>
                    <a:r>
                      <a:rPr lang="en-US"/>
                      <a:t>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59A5-480E-BF6A-C3FB1DCFE68D}"/>
                </c:ext>
              </c:extLst>
            </c:dLbl>
            <c:dLbl>
              <c:idx val="5"/>
              <c:tx>
                <c:rich>
                  <a:bodyPr/>
                  <a:lstStyle/>
                  <a:p>
                    <a:r>
                      <a:rPr lang="en-US"/>
                      <a:t>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59A5-480E-BF6A-C3FB1DCFE68D}"/>
                </c:ext>
              </c:extLst>
            </c:dLbl>
            <c:dLbl>
              <c:idx val="13"/>
              <c:tx>
                <c:rich>
                  <a:bodyPr/>
                  <a:lstStyle/>
                  <a:p>
                    <a:r>
                      <a:rPr lang="en-US"/>
                      <a:t>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59A5-480E-BF6A-C3FB1DCFE6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Sheet1!$AO$1:$AO$16</c:f>
              <c:numCache>
                <c:formatCode>General</c:formatCode>
                <c:ptCount val="16"/>
                <c:pt idx="0">
                  <c:v>100</c:v>
                </c:pt>
                <c:pt idx="1">
                  <c:v>101</c:v>
                </c:pt>
                <c:pt idx="2">
                  <c:v>102</c:v>
                </c:pt>
                <c:pt idx="3">
                  <c:v>103</c:v>
                </c:pt>
                <c:pt idx="4">
                  <c:v>104</c:v>
                </c:pt>
                <c:pt idx="5">
                  <c:v>105</c:v>
                </c:pt>
                <c:pt idx="6">
                  <c:v>106</c:v>
                </c:pt>
                <c:pt idx="7">
                  <c:v>107</c:v>
                </c:pt>
                <c:pt idx="8">
                  <c:v>108</c:v>
                </c:pt>
                <c:pt idx="9">
                  <c:v>109</c:v>
                </c:pt>
                <c:pt idx="10">
                  <c:v>110</c:v>
                </c:pt>
                <c:pt idx="11">
                  <c:v>111</c:v>
                </c:pt>
                <c:pt idx="12">
                  <c:v>112</c:v>
                </c:pt>
                <c:pt idx="13">
                  <c:v>113</c:v>
                </c:pt>
                <c:pt idx="14">
                  <c:v>114</c:v>
                </c:pt>
                <c:pt idx="15">
                  <c:v>115</c:v>
                </c:pt>
              </c:numCache>
            </c:numRef>
          </c:cat>
          <c:val>
            <c:numRef>
              <c:f>Sheet1!$AP$1:$AP$16</c:f>
              <c:numCache>
                <c:formatCode>General</c:formatCode>
                <c:ptCount val="16"/>
                <c:pt idx="0">
                  <c:v>20</c:v>
                </c:pt>
                <c:pt idx="1">
                  <c:v>20</c:v>
                </c:pt>
                <c:pt idx="2">
                  <c:v>30</c:v>
                </c:pt>
                <c:pt idx="4">
                  <c:v>10</c:v>
                </c:pt>
                <c:pt idx="5">
                  <c:v>20</c:v>
                </c:pt>
                <c:pt idx="13">
                  <c:v>10</c:v>
                </c:pt>
              </c:numCache>
            </c:numRef>
          </c:val>
          <c:extLst xmlns:c16r2="http://schemas.microsoft.com/office/drawing/2015/06/chart">
            <c:ext xmlns:c16="http://schemas.microsoft.com/office/drawing/2014/chart" uri="{C3380CC4-5D6E-409C-BE32-E72D297353CC}">
              <c16:uniqueId val="{00000000-59A5-480E-BF6A-C3FB1DCFE68D}"/>
            </c:ext>
          </c:extLst>
        </c:ser>
        <c:dLbls>
          <c:dLblPos val="outEnd"/>
          <c:showLegendKey val="0"/>
          <c:showVal val="1"/>
          <c:showCatName val="0"/>
          <c:showSerName val="0"/>
          <c:showPercent val="0"/>
          <c:showBubbleSize val="0"/>
        </c:dLbls>
        <c:gapWidth val="219"/>
        <c:overlap val="-27"/>
        <c:axId val="221944832"/>
        <c:axId val="39270592"/>
      </c:barChart>
      <c:catAx>
        <c:axId val="221944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Precincts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70592"/>
        <c:crosses val="autoZero"/>
        <c:auto val="1"/>
        <c:lblAlgn val="ctr"/>
        <c:lblOffset val="100"/>
        <c:noMultiLvlLbl val="0"/>
      </c:catAx>
      <c:valAx>
        <c:axId val="39270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944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58192-0F7A-4B79-B174-A400E29C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West</dc:creator>
  <cp:lastModifiedBy>Valerie West</cp:lastModifiedBy>
  <cp:revision>2</cp:revision>
  <dcterms:created xsi:type="dcterms:W3CDTF">2020-12-08T12:29:00Z</dcterms:created>
  <dcterms:modified xsi:type="dcterms:W3CDTF">2020-12-08T12:29:00Z</dcterms:modified>
</cp:coreProperties>
</file>